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24" w:rsidRDefault="002F69B2" w:rsidP="00C81A41">
      <w:pPr>
        <w:widowControl w:val="0"/>
        <w:autoSpaceDE w:val="0"/>
        <w:autoSpaceDN w:val="0"/>
        <w:adjustRightInd w:val="0"/>
        <w:spacing w:line="360" w:lineRule="auto"/>
        <w:jc w:val="both"/>
        <w:rPr>
          <w:rFonts w:ascii="Georgia" w:hAnsi="Georgia" w:cs="Calibri"/>
          <w:b/>
          <w:bCs/>
          <w:color w:val="003D7F"/>
          <w:sz w:val="32"/>
          <w:szCs w:val="32"/>
        </w:rPr>
      </w:pPr>
      <w:r>
        <w:rPr>
          <w:rFonts w:ascii="Georgia" w:hAnsi="Georgia" w:cs="Calibri"/>
          <w:b/>
          <w:bCs/>
          <w:color w:val="003D7F"/>
          <w:sz w:val="32"/>
          <w:szCs w:val="32"/>
        </w:rPr>
        <w:t>Firmenprofil</w:t>
      </w:r>
    </w:p>
    <w:p w:rsidR="00DE0023" w:rsidRDefault="00DE0023" w:rsidP="002F69B2">
      <w:pPr>
        <w:widowControl w:val="0"/>
        <w:autoSpaceDE w:val="0"/>
        <w:autoSpaceDN w:val="0"/>
        <w:adjustRightInd w:val="0"/>
        <w:spacing w:line="360" w:lineRule="auto"/>
        <w:jc w:val="both"/>
        <w:rPr>
          <w:rFonts w:ascii="Verdana" w:hAnsi="Verdana" w:cs="Calibri"/>
          <w:bCs/>
          <w:sz w:val="20"/>
          <w:szCs w:val="20"/>
        </w:rPr>
      </w:pPr>
      <w:r w:rsidRPr="00DE0023">
        <w:rPr>
          <w:rFonts w:ascii="Verdana" w:hAnsi="Verdana" w:cs="Calibri"/>
          <w:bCs/>
          <w:sz w:val="20"/>
          <w:szCs w:val="20"/>
        </w:rPr>
        <w:t xml:space="preserve">Die Dr. Kohlhase Vermögensverwaltungsgesellschaft mbH ist eine bankenunabhängige Vermögensverwaltungsgesellschaft mit Sitz in München. Sie wurde 1980 von Dr. Detlef Kohlhase gegründet und ist </w:t>
      </w:r>
      <w:r w:rsidR="00756E9C">
        <w:rPr>
          <w:rFonts w:ascii="Verdana" w:hAnsi="Verdana" w:cs="Calibri"/>
          <w:bCs/>
          <w:sz w:val="20"/>
          <w:szCs w:val="20"/>
        </w:rPr>
        <w:t>in de</w:t>
      </w:r>
      <w:r w:rsidRPr="00DE0023">
        <w:rPr>
          <w:rFonts w:ascii="Verdana" w:hAnsi="Verdana" w:cs="Calibri"/>
          <w:bCs/>
          <w:sz w:val="20"/>
          <w:szCs w:val="20"/>
        </w:rPr>
        <w:t>n Bereichen Vermögensverwaltung und Fondsmanagement aktiv. Darüber hinaus koordiniert sie die Vertriebs- und Marketingaktivitäten für ihre eigenen Fonds.</w:t>
      </w:r>
    </w:p>
    <w:p w:rsidR="00DE0023" w:rsidRDefault="00DE0023" w:rsidP="002F69B2">
      <w:pPr>
        <w:widowControl w:val="0"/>
        <w:autoSpaceDE w:val="0"/>
        <w:autoSpaceDN w:val="0"/>
        <w:adjustRightInd w:val="0"/>
        <w:spacing w:line="360" w:lineRule="auto"/>
        <w:jc w:val="both"/>
        <w:rPr>
          <w:rFonts w:ascii="Verdana" w:hAnsi="Verdana" w:cs="Calibri"/>
          <w:bCs/>
          <w:sz w:val="20"/>
          <w:szCs w:val="20"/>
        </w:rPr>
      </w:pPr>
      <w:r w:rsidRPr="00DE0023">
        <w:rPr>
          <w:rFonts w:ascii="Verdana" w:hAnsi="Verdana" w:cs="Calibri"/>
          <w:bCs/>
          <w:sz w:val="20"/>
          <w:szCs w:val="20"/>
        </w:rPr>
        <w:t xml:space="preserve">Die in Familienbesitz befindliche Gesellschaft versteht sich als Verwalter für das liquide Vermögen bei konservativer Anlageausrichtung. Oberstes Anlageziel ist der langfristige Vermögensaufbau sowie der Vermögenserhalt. Das Angebot richtet sich an private und institutionelle Anleger. </w:t>
      </w:r>
    </w:p>
    <w:p w:rsidR="00DE0023" w:rsidRDefault="00DE0023" w:rsidP="002F69B2">
      <w:pPr>
        <w:widowControl w:val="0"/>
        <w:autoSpaceDE w:val="0"/>
        <w:autoSpaceDN w:val="0"/>
        <w:adjustRightInd w:val="0"/>
        <w:spacing w:line="360" w:lineRule="auto"/>
        <w:jc w:val="both"/>
        <w:rPr>
          <w:rFonts w:ascii="Verdana" w:hAnsi="Verdana" w:cs="Calibri"/>
          <w:bCs/>
          <w:sz w:val="20"/>
          <w:szCs w:val="20"/>
        </w:rPr>
      </w:pPr>
      <w:r w:rsidRPr="00DE0023">
        <w:rPr>
          <w:rFonts w:ascii="Verdana" w:hAnsi="Verdana" w:cs="Calibri"/>
          <w:bCs/>
          <w:sz w:val="20"/>
          <w:szCs w:val="20"/>
        </w:rPr>
        <w:t>Einen besonderen Stellenwert der Unternehmenstätigkeit nehmen die Anlagestrategien im verzinslichen Bereich ein, wofür die Gesellschaft seit langer Zeit bekannt ist</w:t>
      </w:r>
      <w:r>
        <w:rPr>
          <w:rFonts w:ascii="Verdana" w:hAnsi="Verdana" w:cs="Calibri"/>
          <w:bCs/>
          <w:sz w:val="20"/>
          <w:szCs w:val="20"/>
        </w:rPr>
        <w:t xml:space="preserve">. </w:t>
      </w:r>
    </w:p>
    <w:p w:rsidR="002F69B2" w:rsidRPr="002F69B2" w:rsidRDefault="00756E9C" w:rsidP="002F69B2">
      <w:pPr>
        <w:widowControl w:val="0"/>
        <w:autoSpaceDE w:val="0"/>
        <w:autoSpaceDN w:val="0"/>
        <w:adjustRightInd w:val="0"/>
        <w:spacing w:line="360" w:lineRule="auto"/>
        <w:jc w:val="both"/>
        <w:rPr>
          <w:rFonts w:ascii="Verdana" w:hAnsi="Verdana" w:cs="Calibri"/>
          <w:bCs/>
          <w:sz w:val="20"/>
          <w:szCs w:val="20"/>
        </w:rPr>
      </w:pPr>
      <w:r>
        <w:t>Ein weiteres Betätigungsfeld sind die Vert</w:t>
      </w:r>
      <w:r>
        <w:t>r</w:t>
      </w:r>
      <w:bookmarkStart w:id="0" w:name="_GoBack"/>
      <w:bookmarkEnd w:id="0"/>
      <w:r>
        <w:t>iebs- und Marketingaktivitäten für die NESTOR-Fonds</w:t>
      </w:r>
      <w:r>
        <w:rPr>
          <w:rFonts w:ascii="Verdana" w:hAnsi="Verdana" w:cs="Calibri"/>
          <w:bCs/>
          <w:sz w:val="20"/>
          <w:szCs w:val="20"/>
        </w:rPr>
        <w:t>.</w:t>
      </w:r>
      <w:r w:rsidR="00DE0023" w:rsidRPr="00DE0023">
        <w:rPr>
          <w:rFonts w:ascii="Verdana" w:hAnsi="Verdana" w:cs="Calibri"/>
          <w:bCs/>
          <w:sz w:val="20"/>
          <w:szCs w:val="20"/>
        </w:rPr>
        <w:t xml:space="preserve"> Ziel war und ist es, Aktienfonds für Spezialsegmente mit hohem Erfolgspotenzial, die nicht unbedingt im Blickfang der großen Anbieter liegen, aufzulegen. Für diese Fonds wurden und werden hauptsächlich externe Fondsmanager/-berater mit fundiertem Spezialwissen auf dem jeweiligen Gebiet verpflichtet.</w:t>
      </w:r>
    </w:p>
    <w:p w:rsidR="00513D0E" w:rsidRDefault="00513D0E" w:rsidP="00CB7B24">
      <w:pPr>
        <w:widowControl w:val="0"/>
        <w:autoSpaceDE w:val="0"/>
        <w:autoSpaceDN w:val="0"/>
        <w:adjustRightInd w:val="0"/>
        <w:spacing w:after="0" w:line="240" w:lineRule="auto"/>
        <w:jc w:val="both"/>
        <w:rPr>
          <w:rFonts w:ascii="Verdana" w:hAnsi="Verdana" w:cs="Calibri"/>
          <w:bCs/>
          <w:sz w:val="20"/>
          <w:szCs w:val="20"/>
        </w:rPr>
      </w:pPr>
    </w:p>
    <w:p w:rsidR="00CB7B24" w:rsidRPr="00CB7B24" w:rsidRDefault="00CB7B24" w:rsidP="00CB7B24">
      <w:pPr>
        <w:widowControl w:val="0"/>
        <w:autoSpaceDE w:val="0"/>
        <w:autoSpaceDN w:val="0"/>
        <w:adjustRightInd w:val="0"/>
        <w:spacing w:line="360" w:lineRule="auto"/>
        <w:jc w:val="both"/>
        <w:rPr>
          <w:rFonts w:ascii="Georgia" w:hAnsi="Georgia" w:cs="Calibri"/>
          <w:bCs/>
          <w:color w:val="001A7F"/>
          <w:sz w:val="20"/>
          <w:szCs w:val="20"/>
        </w:rPr>
      </w:pPr>
      <w:r w:rsidRPr="00CB7B24">
        <w:rPr>
          <w:rFonts w:ascii="Georgia" w:hAnsi="Georgia" w:cs="Calibri"/>
          <w:b/>
          <w:bCs/>
          <w:color w:val="001A7F"/>
          <w:sz w:val="20"/>
          <w:szCs w:val="20"/>
        </w:rPr>
        <w:t>Kontakt:</w:t>
      </w:r>
    </w:p>
    <w:p w:rsidR="00CB7B24" w:rsidRDefault="00CB7B24" w:rsidP="00CB7B24">
      <w:pPr>
        <w:widowControl w:val="0"/>
        <w:autoSpaceDE w:val="0"/>
        <w:autoSpaceDN w:val="0"/>
        <w:adjustRightInd w:val="0"/>
        <w:spacing w:after="0" w:line="240" w:lineRule="auto"/>
        <w:jc w:val="both"/>
        <w:rPr>
          <w:rFonts w:ascii="Verdana" w:hAnsi="Verdana" w:cs="Calibri"/>
          <w:bCs/>
          <w:sz w:val="20"/>
          <w:szCs w:val="20"/>
        </w:rPr>
      </w:pPr>
      <w:r w:rsidRPr="00CB7B24">
        <w:rPr>
          <w:rFonts w:ascii="Verdana" w:hAnsi="Verdana" w:cs="Calibri"/>
          <w:bCs/>
          <w:sz w:val="20"/>
          <w:szCs w:val="20"/>
        </w:rPr>
        <w:t xml:space="preserve">Dr. Kohlhase Vermögensverwaltungsgesellschaft mbH </w:t>
      </w:r>
    </w:p>
    <w:p w:rsidR="00CB7B24" w:rsidRPr="00CB7B24" w:rsidRDefault="00A847D1" w:rsidP="00CB7B24">
      <w:pPr>
        <w:widowControl w:val="0"/>
        <w:autoSpaceDE w:val="0"/>
        <w:autoSpaceDN w:val="0"/>
        <w:adjustRightInd w:val="0"/>
        <w:spacing w:after="0" w:line="240" w:lineRule="auto"/>
        <w:jc w:val="both"/>
        <w:rPr>
          <w:rFonts w:ascii="Verdana" w:hAnsi="Verdana" w:cs="Calibri"/>
          <w:bCs/>
          <w:sz w:val="20"/>
          <w:szCs w:val="20"/>
        </w:rPr>
      </w:pPr>
      <w:r>
        <w:rPr>
          <w:rFonts w:ascii="Verdana" w:hAnsi="Verdana" w:cs="Calibri"/>
          <w:bCs/>
          <w:sz w:val="20"/>
          <w:szCs w:val="20"/>
        </w:rPr>
        <w:t>Löwengrube 18</w:t>
      </w:r>
    </w:p>
    <w:p w:rsidR="00CB7B24" w:rsidRDefault="00CB7B24" w:rsidP="00CB7B24">
      <w:pPr>
        <w:widowControl w:val="0"/>
        <w:autoSpaceDE w:val="0"/>
        <w:autoSpaceDN w:val="0"/>
        <w:adjustRightInd w:val="0"/>
        <w:spacing w:after="0" w:line="240" w:lineRule="auto"/>
        <w:jc w:val="both"/>
        <w:rPr>
          <w:rFonts w:ascii="Verdana" w:hAnsi="Verdana" w:cs="Calibri"/>
          <w:bCs/>
          <w:sz w:val="20"/>
          <w:szCs w:val="20"/>
        </w:rPr>
      </w:pPr>
      <w:r w:rsidRPr="00CB7B24">
        <w:rPr>
          <w:rFonts w:ascii="Verdana" w:hAnsi="Verdana" w:cs="Calibri"/>
          <w:bCs/>
          <w:sz w:val="20"/>
          <w:szCs w:val="20"/>
        </w:rPr>
        <w:t>D-80333 München</w:t>
      </w:r>
    </w:p>
    <w:p w:rsidR="00CB7B24" w:rsidRPr="00CB7B24" w:rsidRDefault="00CB7B24" w:rsidP="00CB7B24">
      <w:pPr>
        <w:widowControl w:val="0"/>
        <w:autoSpaceDE w:val="0"/>
        <w:autoSpaceDN w:val="0"/>
        <w:adjustRightInd w:val="0"/>
        <w:spacing w:after="0" w:line="240" w:lineRule="auto"/>
        <w:jc w:val="both"/>
        <w:rPr>
          <w:rFonts w:ascii="Verdana" w:hAnsi="Verdana" w:cs="Calibri"/>
          <w:bCs/>
          <w:sz w:val="20"/>
          <w:szCs w:val="20"/>
        </w:rPr>
      </w:pPr>
    </w:p>
    <w:p w:rsidR="00CB7B24" w:rsidRDefault="00CB7B24" w:rsidP="00CB7B24">
      <w:pPr>
        <w:widowControl w:val="0"/>
        <w:autoSpaceDE w:val="0"/>
        <w:autoSpaceDN w:val="0"/>
        <w:adjustRightInd w:val="0"/>
        <w:spacing w:after="0" w:line="240" w:lineRule="auto"/>
        <w:jc w:val="both"/>
        <w:rPr>
          <w:rFonts w:ascii="Verdana" w:hAnsi="Verdana" w:cs="Calibri"/>
          <w:bCs/>
          <w:sz w:val="20"/>
          <w:szCs w:val="20"/>
        </w:rPr>
      </w:pPr>
      <w:r w:rsidRPr="00CB7B24">
        <w:rPr>
          <w:rFonts w:ascii="Verdana" w:hAnsi="Verdana" w:cs="Calibri"/>
          <w:bCs/>
          <w:sz w:val="20"/>
          <w:szCs w:val="20"/>
        </w:rPr>
        <w:t>Tel.: +49 (0)89 / 54 59 03-0</w:t>
      </w:r>
    </w:p>
    <w:p w:rsidR="00CB7B24" w:rsidRDefault="00CB7B24" w:rsidP="00CB7B24">
      <w:pPr>
        <w:widowControl w:val="0"/>
        <w:autoSpaceDE w:val="0"/>
        <w:autoSpaceDN w:val="0"/>
        <w:adjustRightInd w:val="0"/>
        <w:spacing w:after="0" w:line="240" w:lineRule="auto"/>
        <w:jc w:val="both"/>
        <w:rPr>
          <w:rFonts w:ascii="Verdana" w:hAnsi="Verdana" w:cs="Calibri"/>
          <w:bCs/>
          <w:sz w:val="20"/>
          <w:szCs w:val="20"/>
        </w:rPr>
      </w:pPr>
      <w:r w:rsidRPr="00CB7B24">
        <w:rPr>
          <w:rFonts w:ascii="Verdana" w:hAnsi="Verdana" w:cs="Calibri"/>
          <w:bCs/>
          <w:sz w:val="20"/>
          <w:szCs w:val="20"/>
        </w:rPr>
        <w:t>epost@kohlhase.de</w:t>
      </w:r>
    </w:p>
    <w:p w:rsidR="00513D0E" w:rsidRDefault="00756E9C" w:rsidP="00CB7B24">
      <w:pPr>
        <w:widowControl w:val="0"/>
        <w:autoSpaceDE w:val="0"/>
        <w:autoSpaceDN w:val="0"/>
        <w:adjustRightInd w:val="0"/>
        <w:spacing w:after="0" w:line="240" w:lineRule="auto"/>
        <w:jc w:val="both"/>
        <w:rPr>
          <w:rFonts w:ascii="Verdana" w:hAnsi="Verdana" w:cs="Calibri"/>
          <w:bCs/>
          <w:sz w:val="20"/>
          <w:szCs w:val="20"/>
        </w:rPr>
      </w:pPr>
      <w:hyperlink r:id="rId8" w:history="1">
        <w:r w:rsidR="00A847D1" w:rsidRPr="00ED0D83">
          <w:rPr>
            <w:rStyle w:val="Hyperlink"/>
            <w:rFonts w:ascii="Verdana" w:hAnsi="Verdana" w:cs="Calibri"/>
            <w:bCs/>
            <w:sz w:val="20"/>
            <w:szCs w:val="20"/>
          </w:rPr>
          <w:t>www.kohlhase.com</w:t>
        </w:r>
      </w:hyperlink>
      <w:r w:rsidR="00A847D1">
        <w:rPr>
          <w:rFonts w:ascii="Verdana" w:hAnsi="Verdana" w:cs="Calibri"/>
          <w:bCs/>
          <w:sz w:val="20"/>
          <w:szCs w:val="20"/>
        </w:rPr>
        <w:t xml:space="preserve"> </w:t>
      </w:r>
    </w:p>
    <w:p w:rsidR="00513D0E" w:rsidRDefault="00513D0E" w:rsidP="008F7F4F">
      <w:pPr>
        <w:spacing w:after="0" w:line="240" w:lineRule="auto"/>
        <w:rPr>
          <w:rFonts w:ascii="Verdana" w:hAnsi="Verdana" w:cs="Calibri"/>
          <w:bCs/>
          <w:sz w:val="20"/>
          <w:szCs w:val="20"/>
        </w:rPr>
      </w:pPr>
      <w:r>
        <w:rPr>
          <w:rFonts w:ascii="Verdana" w:hAnsi="Verdana" w:cs="Calibri"/>
          <w:bCs/>
          <w:sz w:val="20"/>
          <w:szCs w:val="20"/>
        </w:rPr>
        <w:br w:type="page"/>
      </w:r>
    </w:p>
    <w:p w:rsidR="008F7F4F" w:rsidRPr="003741AE" w:rsidRDefault="008F7F4F" w:rsidP="008F7F4F">
      <w:pPr>
        <w:pStyle w:val="berschrift2"/>
        <w:rPr>
          <w:rFonts w:ascii="Georgia" w:eastAsia="Times New Roman" w:hAnsi="Georgia"/>
        </w:rPr>
      </w:pPr>
      <w:r w:rsidRPr="003741AE">
        <w:rPr>
          <w:rFonts w:ascii="Georgia" w:eastAsia="Times New Roman" w:hAnsi="Georgia"/>
        </w:rPr>
        <w:lastRenderedPageBreak/>
        <w:t>Disclaimer</w:t>
      </w:r>
    </w:p>
    <w:p w:rsidR="008F7F4F" w:rsidRDefault="008F7F4F" w:rsidP="008F7F4F">
      <w:pPr>
        <w:autoSpaceDE w:val="0"/>
        <w:autoSpaceDN w:val="0"/>
        <w:spacing w:after="0" w:line="240" w:lineRule="auto"/>
        <w:jc w:val="both"/>
        <w:rPr>
          <w:rFonts w:ascii="Verdana" w:eastAsia="Times New Roman" w:hAnsi="Verdana" w:cs="Arial"/>
          <w:sz w:val="20"/>
          <w:szCs w:val="20"/>
        </w:rPr>
      </w:pPr>
      <w:r w:rsidRPr="00EB36E1">
        <w:rPr>
          <w:rFonts w:ascii="Verdana" w:eastAsia="Times New Roman" w:hAnsi="Verdana" w:cs="Arial"/>
          <w:sz w:val="20"/>
          <w:szCs w:val="20"/>
        </w:rPr>
        <w:t>Bei der vorliegenden Ausarbeitung handelt es sich um eine Werbemitteilung, die nicht allen gesetzlichen Anforderungen zur Gewährleistung der Unvoreingenommenheit von Finanzanalysen genügt und nicht einem Verbot des Handelns vor der Veröffentlichung von Finanzanalysen unterliegt. Sie wendet sich an institutionelle Investoren und enthält Eckdaten möglicher geschäftlicher Aktivitäten oder allgemeine Informationen. Außerdem stellt sie keine an den persönlichen Verhältnissen eines Kunden ausgerichtete Anlageempfehlung oder Anlageberatung dar.</w:t>
      </w:r>
    </w:p>
    <w:p w:rsidR="008F7F4F" w:rsidRDefault="008F7F4F" w:rsidP="008F7F4F">
      <w:pPr>
        <w:autoSpaceDE w:val="0"/>
        <w:autoSpaceDN w:val="0"/>
        <w:spacing w:after="0" w:line="240" w:lineRule="auto"/>
        <w:jc w:val="both"/>
        <w:rPr>
          <w:rFonts w:ascii="Verdana" w:eastAsia="Times New Roman" w:hAnsi="Verdana" w:cs="Arial"/>
          <w:sz w:val="20"/>
          <w:szCs w:val="20"/>
        </w:rPr>
      </w:pPr>
    </w:p>
    <w:p w:rsidR="008F7F4F" w:rsidRPr="00EB36E1" w:rsidRDefault="008F7F4F" w:rsidP="008F7F4F">
      <w:pPr>
        <w:autoSpaceDE w:val="0"/>
        <w:autoSpaceDN w:val="0"/>
        <w:spacing w:after="0" w:line="240" w:lineRule="auto"/>
        <w:jc w:val="both"/>
        <w:rPr>
          <w:rFonts w:ascii="Verdana" w:eastAsia="Times New Roman" w:hAnsi="Verdana" w:cs="Arial"/>
          <w:sz w:val="20"/>
          <w:szCs w:val="20"/>
        </w:rPr>
      </w:pPr>
      <w:r w:rsidRPr="00EB36E1">
        <w:rPr>
          <w:rFonts w:ascii="Verdana" w:eastAsia="Times New Roman" w:hAnsi="Verdana" w:cs="Arial"/>
          <w:sz w:val="20"/>
          <w:szCs w:val="20"/>
        </w:rPr>
        <w:t xml:space="preserve">Vor Erwerb von Fondsanteilen ist eine kunden- und produktgerechte Beratung durch einen Kundenberater erforderlich. Ausführliche produktspezifische Informationen enthalten die aktuell gültigen Verkaufsunterlagen, die die allein verbindliche Grundlage für den Kauf von Fondsanteilen darstellen. Alle Verkaufsunterlagen sind kostenlos am Sitz der Verwaltungsgesellschaft sowie bei allen Zahl- und Informationsstellen erhältlich. Sofern Aussagen zu Chancen und Risiken eines einzelnen Produktes getätigt werden, sind diese nicht als vollständig zu betrachten. In diesem Zusammenhang wird auf die Wesentlichen Anlegerinformationen des jeweiligen Produktes verwiesen. </w:t>
      </w:r>
    </w:p>
    <w:p w:rsidR="008F7F4F" w:rsidRPr="00EB36E1" w:rsidRDefault="008F7F4F" w:rsidP="008F7F4F">
      <w:pPr>
        <w:autoSpaceDE w:val="0"/>
        <w:autoSpaceDN w:val="0"/>
        <w:spacing w:after="0" w:line="240" w:lineRule="auto"/>
        <w:jc w:val="both"/>
        <w:rPr>
          <w:rFonts w:ascii="Verdana" w:eastAsia="Times New Roman" w:hAnsi="Verdana" w:cs="Arial"/>
          <w:sz w:val="20"/>
          <w:szCs w:val="20"/>
        </w:rPr>
      </w:pPr>
    </w:p>
    <w:p w:rsidR="008F7F4F" w:rsidRDefault="008F7F4F" w:rsidP="008F7F4F">
      <w:pPr>
        <w:autoSpaceDE w:val="0"/>
        <w:autoSpaceDN w:val="0"/>
        <w:spacing w:after="0" w:line="240" w:lineRule="auto"/>
        <w:jc w:val="both"/>
        <w:rPr>
          <w:rFonts w:ascii="Verdana" w:eastAsia="Times New Roman" w:hAnsi="Verdana" w:cs="Arial"/>
          <w:sz w:val="20"/>
          <w:szCs w:val="20"/>
        </w:rPr>
      </w:pPr>
      <w:r w:rsidRPr="00EB36E1">
        <w:rPr>
          <w:rFonts w:ascii="Verdana" w:eastAsia="Times New Roman" w:hAnsi="Verdana" w:cs="Arial"/>
          <w:sz w:val="20"/>
          <w:szCs w:val="20"/>
        </w:rPr>
        <w:t>Von den genannten Kosten erhält der Vermittler / Berater eine Vertriebsvergütung. Nähere Regelungen hierzu sowie zu den einzelnen Kosten enthält der Verkaufsprospekt. Weitergehende Auskünfte erteilen wir gerne auf Nachfrage.</w:t>
      </w:r>
    </w:p>
    <w:p w:rsidR="008F7F4F" w:rsidRPr="00EB36E1" w:rsidRDefault="008F7F4F" w:rsidP="008F7F4F">
      <w:pPr>
        <w:autoSpaceDE w:val="0"/>
        <w:autoSpaceDN w:val="0"/>
        <w:spacing w:after="0" w:line="240" w:lineRule="auto"/>
        <w:jc w:val="both"/>
        <w:rPr>
          <w:rFonts w:ascii="Verdana" w:eastAsia="Times New Roman" w:hAnsi="Verdana" w:cs="Arial"/>
          <w:sz w:val="20"/>
          <w:szCs w:val="20"/>
        </w:rPr>
      </w:pPr>
    </w:p>
    <w:p w:rsidR="008F7F4F" w:rsidRDefault="008F7F4F" w:rsidP="008F7F4F">
      <w:pPr>
        <w:autoSpaceDE w:val="0"/>
        <w:autoSpaceDN w:val="0"/>
        <w:spacing w:after="0" w:line="240" w:lineRule="auto"/>
        <w:jc w:val="both"/>
        <w:rPr>
          <w:rFonts w:ascii="Verdana" w:eastAsia="Times New Roman" w:hAnsi="Verdana" w:cs="Arial"/>
          <w:sz w:val="20"/>
          <w:szCs w:val="20"/>
        </w:rPr>
      </w:pPr>
      <w:r w:rsidRPr="00EB36E1">
        <w:rPr>
          <w:rFonts w:ascii="Verdana" w:eastAsia="Times New Roman" w:hAnsi="Verdana" w:cs="Arial"/>
          <w:sz w:val="20"/>
          <w:szCs w:val="20"/>
        </w:rPr>
        <w:t>Die Berechnung der Performance erfolgte für den angegebenen Zeitraum bzw. wenn nicht verfügbar, seit Auflage, nach BVI-Methode ohne Berücksichtigung von Ausgabeaufschlägen und Bankspesen. Bitte beachten Sie, dass Vergangenheitswerte kein zuverlässiger Indikator für zukünftige Ergebnisse sind. Für einen Vergleich von Fonds empfiehlt es sich, einen längerfristigen Zeitraum (3 oder 5 Jahre) zu betrachten.</w:t>
      </w:r>
    </w:p>
    <w:p w:rsidR="008F7F4F" w:rsidRDefault="008F7F4F" w:rsidP="008F7F4F">
      <w:pPr>
        <w:autoSpaceDE w:val="0"/>
        <w:autoSpaceDN w:val="0"/>
        <w:spacing w:after="0" w:line="240" w:lineRule="auto"/>
        <w:jc w:val="both"/>
        <w:rPr>
          <w:rFonts w:ascii="Verdana" w:eastAsia="Times New Roman" w:hAnsi="Verdana" w:cs="Arial"/>
          <w:sz w:val="20"/>
          <w:szCs w:val="20"/>
        </w:rPr>
      </w:pPr>
    </w:p>
    <w:p w:rsidR="008F7F4F" w:rsidRDefault="008F7F4F" w:rsidP="008F7F4F">
      <w:pPr>
        <w:autoSpaceDE w:val="0"/>
        <w:autoSpaceDN w:val="0"/>
        <w:spacing w:after="0" w:line="240" w:lineRule="auto"/>
        <w:jc w:val="both"/>
        <w:rPr>
          <w:rFonts w:ascii="Verdana" w:eastAsia="Times New Roman" w:hAnsi="Verdana" w:cs="Arial"/>
          <w:sz w:val="20"/>
          <w:szCs w:val="20"/>
        </w:rPr>
      </w:pPr>
      <w:r w:rsidRPr="00EB36E1">
        <w:rPr>
          <w:rFonts w:ascii="Verdana" w:eastAsia="Times New Roman" w:hAnsi="Verdana" w:cs="Arial"/>
          <w:sz w:val="20"/>
          <w:szCs w:val="20"/>
        </w:rPr>
        <w:t xml:space="preserve">Bitte beachten Sie auch unsere  „Grundsätze für die Ausführung von Aufträgen“ sowie „Informationen über den Umgang mit Interessenkonflikten“. Weitere Informationen entnehmen Sie bitte unseren Webseiten </w:t>
      </w:r>
      <w:hyperlink r:id="rId9" w:history="1">
        <w:r w:rsidR="00DE0023" w:rsidRPr="00ED0D83">
          <w:rPr>
            <w:rStyle w:val="Hyperlink"/>
            <w:rFonts w:ascii="Verdana" w:eastAsia="Times New Roman" w:hAnsi="Verdana" w:cs="Arial"/>
            <w:sz w:val="20"/>
            <w:szCs w:val="20"/>
          </w:rPr>
          <w:t>www.kohlhase.com</w:t>
        </w:r>
      </w:hyperlink>
      <w:r w:rsidRPr="00EB36E1">
        <w:rPr>
          <w:rFonts w:ascii="Verdana" w:eastAsia="Times New Roman" w:hAnsi="Verdana" w:cs="Arial"/>
          <w:sz w:val="20"/>
          <w:szCs w:val="20"/>
        </w:rPr>
        <w:t>.</w:t>
      </w:r>
      <w:r>
        <w:rPr>
          <w:rFonts w:ascii="Verdana" w:eastAsia="Times New Roman" w:hAnsi="Verdana" w:cs="Arial"/>
          <w:sz w:val="20"/>
          <w:szCs w:val="20"/>
        </w:rPr>
        <w:t xml:space="preserve"> </w:t>
      </w:r>
    </w:p>
    <w:p w:rsidR="008F7F4F" w:rsidRPr="006443B8" w:rsidRDefault="008F7F4F" w:rsidP="008F7F4F">
      <w:pPr>
        <w:autoSpaceDE w:val="0"/>
        <w:autoSpaceDN w:val="0"/>
        <w:spacing w:after="0" w:line="240" w:lineRule="auto"/>
        <w:jc w:val="both"/>
        <w:rPr>
          <w:rFonts w:ascii="Verdana" w:eastAsia="Times New Roman" w:hAnsi="Verdana" w:cs="Arial"/>
          <w:sz w:val="20"/>
          <w:szCs w:val="20"/>
        </w:rPr>
      </w:pPr>
    </w:p>
    <w:p w:rsidR="008F7F4F" w:rsidRPr="008F3EF4" w:rsidRDefault="008F7F4F" w:rsidP="008F7F4F">
      <w:pPr>
        <w:spacing w:line="360" w:lineRule="auto"/>
        <w:rPr>
          <w:rFonts w:ascii="Verdana" w:hAnsi="Verdana" w:cs="Vrinda"/>
          <w:sz w:val="20"/>
          <w:szCs w:val="20"/>
        </w:rPr>
      </w:pPr>
    </w:p>
    <w:p w:rsidR="00CB7B24" w:rsidRPr="00CB7B24" w:rsidRDefault="00CB7B24" w:rsidP="008F7F4F">
      <w:pPr>
        <w:widowControl w:val="0"/>
        <w:autoSpaceDE w:val="0"/>
        <w:autoSpaceDN w:val="0"/>
        <w:adjustRightInd w:val="0"/>
        <w:spacing w:line="360" w:lineRule="auto"/>
        <w:jc w:val="both"/>
        <w:rPr>
          <w:rFonts w:ascii="Verdana" w:hAnsi="Verdana" w:cs="Calibri"/>
          <w:bCs/>
          <w:sz w:val="20"/>
          <w:szCs w:val="20"/>
        </w:rPr>
      </w:pPr>
    </w:p>
    <w:sectPr w:rsidR="00CB7B24" w:rsidRPr="00CB7B24" w:rsidSect="008E39D2">
      <w:headerReference w:type="default" r:id="rId10"/>
      <w:footerReference w:type="even" r:id="rId11"/>
      <w:footerReference w:type="default" r:id="rId12"/>
      <w:headerReference w:type="first" r:id="rId13"/>
      <w:footerReference w:type="first" r:id="rId14"/>
      <w:pgSz w:w="11907" w:h="16840" w:code="9"/>
      <w:pgMar w:top="2268" w:right="1418" w:bottom="1134" w:left="1418"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D0E" w:rsidRDefault="00513D0E">
      <w:r>
        <w:separator/>
      </w:r>
    </w:p>
  </w:endnote>
  <w:endnote w:type="continuationSeparator" w:id="0">
    <w:p w:rsidR="00513D0E" w:rsidRDefault="0051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Default="00513D0E" w:rsidP="005637B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13D0E" w:rsidRDefault="00513D0E" w:rsidP="005637BB">
    <w:pPr>
      <w:pStyle w:val="Fuzeile"/>
      <w:ind w:right="360"/>
    </w:pPr>
  </w:p>
  <w:p w:rsidR="00513D0E" w:rsidRDefault="00513D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Pr="007D3115" w:rsidRDefault="00513D0E" w:rsidP="007D3115">
    <w:pPr>
      <w:pStyle w:val="Fuzeile"/>
      <w:jc w:val="right"/>
      <w:rPr>
        <w:rFonts w:ascii="Georgia" w:hAnsi="Georgia"/>
      </w:rPr>
    </w:pPr>
    <w:r w:rsidRPr="007D3115">
      <w:rPr>
        <w:rFonts w:ascii="Georgia" w:hAnsi="Georgia" w:cs="Arial"/>
        <w:snapToGrid w:val="0"/>
        <w:sz w:val="16"/>
        <w:szCs w:val="16"/>
      </w:rPr>
      <w:t xml:space="preserve">Seite </w:t>
    </w:r>
    <w:r w:rsidRPr="007D3115">
      <w:rPr>
        <w:rFonts w:ascii="Georgia" w:hAnsi="Georgia" w:cs="Arial"/>
        <w:snapToGrid w:val="0"/>
        <w:sz w:val="16"/>
        <w:szCs w:val="16"/>
      </w:rPr>
      <w:fldChar w:fldCharType="begin"/>
    </w:r>
    <w:r w:rsidRPr="007D3115">
      <w:rPr>
        <w:rFonts w:ascii="Georgia" w:hAnsi="Georgia" w:cs="Arial"/>
        <w:snapToGrid w:val="0"/>
        <w:sz w:val="16"/>
        <w:szCs w:val="16"/>
      </w:rPr>
      <w:instrText xml:space="preserve"> PAGE </w:instrText>
    </w:r>
    <w:r w:rsidRPr="007D3115">
      <w:rPr>
        <w:rFonts w:ascii="Georgia" w:hAnsi="Georgia" w:cs="Arial"/>
        <w:snapToGrid w:val="0"/>
        <w:sz w:val="16"/>
        <w:szCs w:val="16"/>
      </w:rPr>
      <w:fldChar w:fldCharType="separate"/>
    </w:r>
    <w:r w:rsidR="00DE0023">
      <w:rPr>
        <w:rFonts w:ascii="Georgia" w:hAnsi="Georgia" w:cs="Arial"/>
        <w:noProof/>
        <w:snapToGrid w:val="0"/>
        <w:sz w:val="16"/>
        <w:szCs w:val="16"/>
      </w:rPr>
      <w:t>2</w:t>
    </w:r>
    <w:r w:rsidRPr="007D3115">
      <w:rPr>
        <w:rFonts w:ascii="Georgia" w:hAnsi="Georgia" w:cs="Arial"/>
        <w:snapToGrid w:val="0"/>
        <w:sz w:val="16"/>
        <w:szCs w:val="16"/>
      </w:rPr>
      <w:fldChar w:fldCharType="end"/>
    </w:r>
    <w:r w:rsidRPr="007D3115">
      <w:rPr>
        <w:rFonts w:ascii="Georgia" w:hAnsi="Georgia" w:cs="Arial"/>
        <w:snapToGrid w:val="0"/>
        <w:sz w:val="16"/>
        <w:szCs w:val="16"/>
      </w:rPr>
      <w:t xml:space="preserve"> von </w:t>
    </w:r>
    <w:r w:rsidRPr="007D3115">
      <w:rPr>
        <w:rFonts w:ascii="Georgia" w:hAnsi="Georgia" w:cs="Arial"/>
        <w:snapToGrid w:val="0"/>
        <w:sz w:val="16"/>
        <w:szCs w:val="16"/>
      </w:rPr>
      <w:fldChar w:fldCharType="begin"/>
    </w:r>
    <w:r w:rsidRPr="007D3115">
      <w:rPr>
        <w:rFonts w:ascii="Georgia" w:hAnsi="Georgia" w:cs="Arial"/>
        <w:snapToGrid w:val="0"/>
        <w:sz w:val="16"/>
        <w:szCs w:val="16"/>
      </w:rPr>
      <w:instrText xml:space="preserve"> NUMPAGES </w:instrText>
    </w:r>
    <w:r w:rsidRPr="007D3115">
      <w:rPr>
        <w:rFonts w:ascii="Georgia" w:hAnsi="Georgia" w:cs="Arial"/>
        <w:snapToGrid w:val="0"/>
        <w:sz w:val="16"/>
        <w:szCs w:val="16"/>
      </w:rPr>
      <w:fldChar w:fldCharType="separate"/>
    </w:r>
    <w:r w:rsidR="00DE0023">
      <w:rPr>
        <w:rFonts w:ascii="Georgia" w:hAnsi="Georgia" w:cs="Arial"/>
        <w:noProof/>
        <w:snapToGrid w:val="0"/>
        <w:sz w:val="16"/>
        <w:szCs w:val="16"/>
      </w:rPr>
      <w:t>2</w:t>
    </w:r>
    <w:r w:rsidRPr="007D3115">
      <w:rPr>
        <w:rFonts w:ascii="Georgia" w:hAnsi="Georgia" w:cs="Arial"/>
        <w:snapToGrid w:val="0"/>
        <w:sz w:val="16"/>
        <w:szCs w:val="16"/>
      </w:rPr>
      <w:fldChar w:fldCharType="end"/>
    </w:r>
  </w:p>
  <w:p w:rsidR="00513D0E" w:rsidRPr="007D3115" w:rsidRDefault="00513D0E" w:rsidP="007D31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Pr="007D3115" w:rsidRDefault="00513D0E" w:rsidP="007D3115">
    <w:pPr>
      <w:pStyle w:val="Fuzeile"/>
      <w:jc w:val="right"/>
      <w:rPr>
        <w:rFonts w:ascii="Georgia" w:hAnsi="Georgia"/>
      </w:rPr>
    </w:pPr>
    <w:r w:rsidRPr="007D3115">
      <w:rPr>
        <w:rFonts w:ascii="Georgia" w:hAnsi="Georgia" w:cs="Arial"/>
        <w:snapToGrid w:val="0"/>
        <w:sz w:val="16"/>
        <w:szCs w:val="16"/>
      </w:rPr>
      <w:t xml:space="preserve">Seite </w:t>
    </w:r>
    <w:r w:rsidRPr="007D3115">
      <w:rPr>
        <w:rFonts w:ascii="Georgia" w:hAnsi="Georgia" w:cs="Arial"/>
        <w:snapToGrid w:val="0"/>
        <w:sz w:val="16"/>
        <w:szCs w:val="16"/>
      </w:rPr>
      <w:fldChar w:fldCharType="begin"/>
    </w:r>
    <w:r w:rsidRPr="007D3115">
      <w:rPr>
        <w:rFonts w:ascii="Georgia" w:hAnsi="Georgia" w:cs="Arial"/>
        <w:snapToGrid w:val="0"/>
        <w:sz w:val="16"/>
        <w:szCs w:val="16"/>
      </w:rPr>
      <w:instrText xml:space="preserve"> PAGE </w:instrText>
    </w:r>
    <w:r w:rsidRPr="007D3115">
      <w:rPr>
        <w:rFonts w:ascii="Georgia" w:hAnsi="Georgia" w:cs="Arial"/>
        <w:snapToGrid w:val="0"/>
        <w:sz w:val="16"/>
        <w:szCs w:val="16"/>
      </w:rPr>
      <w:fldChar w:fldCharType="separate"/>
    </w:r>
    <w:r w:rsidR="00DE0023">
      <w:rPr>
        <w:rFonts w:ascii="Georgia" w:hAnsi="Georgia" w:cs="Arial"/>
        <w:noProof/>
        <w:snapToGrid w:val="0"/>
        <w:sz w:val="16"/>
        <w:szCs w:val="16"/>
      </w:rPr>
      <w:t>1</w:t>
    </w:r>
    <w:r w:rsidRPr="007D3115">
      <w:rPr>
        <w:rFonts w:ascii="Georgia" w:hAnsi="Georgia" w:cs="Arial"/>
        <w:snapToGrid w:val="0"/>
        <w:sz w:val="16"/>
        <w:szCs w:val="16"/>
      </w:rPr>
      <w:fldChar w:fldCharType="end"/>
    </w:r>
    <w:r w:rsidRPr="007D3115">
      <w:rPr>
        <w:rFonts w:ascii="Georgia" w:hAnsi="Georgia" w:cs="Arial"/>
        <w:snapToGrid w:val="0"/>
        <w:sz w:val="16"/>
        <w:szCs w:val="16"/>
      </w:rPr>
      <w:t xml:space="preserve"> von </w:t>
    </w:r>
    <w:r w:rsidRPr="007D3115">
      <w:rPr>
        <w:rFonts w:ascii="Georgia" w:hAnsi="Georgia" w:cs="Arial"/>
        <w:snapToGrid w:val="0"/>
        <w:sz w:val="16"/>
        <w:szCs w:val="16"/>
      </w:rPr>
      <w:fldChar w:fldCharType="begin"/>
    </w:r>
    <w:r w:rsidRPr="007D3115">
      <w:rPr>
        <w:rFonts w:ascii="Georgia" w:hAnsi="Georgia" w:cs="Arial"/>
        <w:snapToGrid w:val="0"/>
        <w:sz w:val="16"/>
        <w:szCs w:val="16"/>
      </w:rPr>
      <w:instrText xml:space="preserve"> NUMPAGES </w:instrText>
    </w:r>
    <w:r w:rsidRPr="007D3115">
      <w:rPr>
        <w:rFonts w:ascii="Georgia" w:hAnsi="Georgia" w:cs="Arial"/>
        <w:snapToGrid w:val="0"/>
        <w:sz w:val="16"/>
        <w:szCs w:val="16"/>
      </w:rPr>
      <w:fldChar w:fldCharType="separate"/>
    </w:r>
    <w:r w:rsidR="00DE0023">
      <w:rPr>
        <w:rFonts w:ascii="Georgia" w:hAnsi="Georgia" w:cs="Arial"/>
        <w:noProof/>
        <w:snapToGrid w:val="0"/>
        <w:sz w:val="16"/>
        <w:szCs w:val="16"/>
      </w:rPr>
      <w:t>2</w:t>
    </w:r>
    <w:r w:rsidRPr="007D3115">
      <w:rPr>
        <w:rFonts w:ascii="Georgia" w:hAnsi="Georgia" w:cs="Arial"/>
        <w:snapToGrid w:val="0"/>
        <w:sz w:val="16"/>
        <w:szCs w:val="16"/>
      </w:rPr>
      <w:fldChar w:fldCharType="end"/>
    </w:r>
  </w:p>
  <w:p w:rsidR="00513D0E" w:rsidRPr="007D3115" w:rsidRDefault="00513D0E" w:rsidP="007D3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D0E" w:rsidRDefault="00513D0E">
      <w:r>
        <w:separator/>
      </w:r>
    </w:p>
  </w:footnote>
  <w:footnote w:type="continuationSeparator" w:id="0">
    <w:p w:rsidR="00513D0E" w:rsidRDefault="00513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Default="00513D0E" w:rsidP="00AC303D">
    <w:pPr>
      <w:pStyle w:val="Kopfzeile"/>
      <w:ind w:right="-1417"/>
      <w:jc w:val="right"/>
    </w:pPr>
    <w:r>
      <w:rPr>
        <w:noProof/>
      </w:rPr>
      <w:drawing>
        <wp:anchor distT="0" distB="0" distL="114300" distR="114300" simplePos="0" relativeHeight="251660288" behindDoc="0" locked="0" layoutInCell="1" allowOverlap="1" wp14:anchorId="29F8840C" wp14:editId="3DEE7E07">
          <wp:simplePos x="0" y="0"/>
          <wp:positionH relativeFrom="column">
            <wp:posOffset>4871720</wp:posOffset>
          </wp:positionH>
          <wp:positionV relativeFrom="paragraph">
            <wp:posOffset>0</wp:posOffset>
          </wp:positionV>
          <wp:extent cx="1785600" cy="1285200"/>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_Dr. Kohlhase_Logo.jp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00" cy="1285200"/>
                  </a:xfrm>
                  <a:prstGeom prst="rect">
                    <a:avLst/>
                  </a:prstGeom>
                </pic:spPr>
              </pic:pic>
            </a:graphicData>
          </a:graphic>
          <wp14:sizeRelH relativeFrom="margin">
            <wp14:pctWidth>0</wp14:pctWidth>
          </wp14:sizeRelH>
          <wp14:sizeRelV relativeFrom="margin">
            <wp14:pctHeight>0</wp14:pctHeight>
          </wp14:sizeRelV>
        </wp:anchor>
      </w:drawing>
    </w:r>
  </w:p>
  <w:p w:rsidR="00513D0E" w:rsidRDefault="00513D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0E" w:rsidRDefault="00513D0E" w:rsidP="00AC303D">
    <w:pPr>
      <w:pStyle w:val="Kopfzeile"/>
      <w:ind w:right="-1417"/>
      <w:jc w:val="right"/>
    </w:pPr>
    <w:r>
      <w:rPr>
        <w:noProof/>
      </w:rPr>
      <w:drawing>
        <wp:anchor distT="0" distB="0" distL="114300" distR="114300" simplePos="0" relativeHeight="251659264" behindDoc="0" locked="0" layoutInCell="1" allowOverlap="1" wp14:anchorId="016598D4" wp14:editId="31A4BF07">
          <wp:simplePos x="0" y="0"/>
          <wp:positionH relativeFrom="column">
            <wp:posOffset>4871720</wp:posOffset>
          </wp:positionH>
          <wp:positionV relativeFrom="paragraph">
            <wp:posOffset>0</wp:posOffset>
          </wp:positionV>
          <wp:extent cx="1785600" cy="12852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_Dr. Kohlhase_Logo.jp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00" cy="128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55532"/>
    <w:multiLevelType w:val="hybridMultilevel"/>
    <w:tmpl w:val="695E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21"/>
    <w:rsid w:val="00007EB6"/>
    <w:rsid w:val="0001188C"/>
    <w:rsid w:val="000200FE"/>
    <w:rsid w:val="00020182"/>
    <w:rsid w:val="00020E30"/>
    <w:rsid w:val="00024FCA"/>
    <w:rsid w:val="00025597"/>
    <w:rsid w:val="00025CC1"/>
    <w:rsid w:val="000304CE"/>
    <w:rsid w:val="0003224D"/>
    <w:rsid w:val="000351F7"/>
    <w:rsid w:val="00042706"/>
    <w:rsid w:val="00044A78"/>
    <w:rsid w:val="0005197F"/>
    <w:rsid w:val="0005622F"/>
    <w:rsid w:val="00067A35"/>
    <w:rsid w:val="00072CBF"/>
    <w:rsid w:val="00073EBF"/>
    <w:rsid w:val="0008732B"/>
    <w:rsid w:val="00090EE4"/>
    <w:rsid w:val="00093126"/>
    <w:rsid w:val="000A066B"/>
    <w:rsid w:val="000A4043"/>
    <w:rsid w:val="000A5DDD"/>
    <w:rsid w:val="000A60CB"/>
    <w:rsid w:val="000A6299"/>
    <w:rsid w:val="000B042C"/>
    <w:rsid w:val="000B3116"/>
    <w:rsid w:val="000B3698"/>
    <w:rsid w:val="000B373F"/>
    <w:rsid w:val="000C0BB4"/>
    <w:rsid w:val="000C1B12"/>
    <w:rsid w:val="000D00E6"/>
    <w:rsid w:val="000D1A6F"/>
    <w:rsid w:val="000F4B70"/>
    <w:rsid w:val="000F6045"/>
    <w:rsid w:val="000F60D1"/>
    <w:rsid w:val="001053BC"/>
    <w:rsid w:val="00110BA8"/>
    <w:rsid w:val="00114481"/>
    <w:rsid w:val="00116902"/>
    <w:rsid w:val="0012453D"/>
    <w:rsid w:val="0012581D"/>
    <w:rsid w:val="0013417E"/>
    <w:rsid w:val="00137B49"/>
    <w:rsid w:val="001438F1"/>
    <w:rsid w:val="00161C3C"/>
    <w:rsid w:val="00161FD6"/>
    <w:rsid w:val="001729DE"/>
    <w:rsid w:val="001806F9"/>
    <w:rsid w:val="001B51A6"/>
    <w:rsid w:val="001B5492"/>
    <w:rsid w:val="001C2D79"/>
    <w:rsid w:val="001C3F8E"/>
    <w:rsid w:val="001C6A08"/>
    <w:rsid w:val="001D54FF"/>
    <w:rsid w:val="001E154B"/>
    <w:rsid w:val="001E6A80"/>
    <w:rsid w:val="001F7EBA"/>
    <w:rsid w:val="00203B6B"/>
    <w:rsid w:val="00213A39"/>
    <w:rsid w:val="00226BCA"/>
    <w:rsid w:val="00231782"/>
    <w:rsid w:val="00250610"/>
    <w:rsid w:val="00254A97"/>
    <w:rsid w:val="002558A5"/>
    <w:rsid w:val="00260460"/>
    <w:rsid w:val="00260F86"/>
    <w:rsid w:val="00264E7D"/>
    <w:rsid w:val="00265D6B"/>
    <w:rsid w:val="0026643F"/>
    <w:rsid w:val="0028685C"/>
    <w:rsid w:val="00295C8C"/>
    <w:rsid w:val="002A5B7A"/>
    <w:rsid w:val="002A7693"/>
    <w:rsid w:val="002B25AF"/>
    <w:rsid w:val="002B4FAF"/>
    <w:rsid w:val="002B5DD8"/>
    <w:rsid w:val="002C0117"/>
    <w:rsid w:val="002D03CF"/>
    <w:rsid w:val="002E2A72"/>
    <w:rsid w:val="002E3C97"/>
    <w:rsid w:val="002E5D77"/>
    <w:rsid w:val="002E5EEF"/>
    <w:rsid w:val="002E746C"/>
    <w:rsid w:val="002F0AC5"/>
    <w:rsid w:val="002F0E97"/>
    <w:rsid w:val="002F69B2"/>
    <w:rsid w:val="00301021"/>
    <w:rsid w:val="00310F40"/>
    <w:rsid w:val="0031499F"/>
    <w:rsid w:val="00314EBE"/>
    <w:rsid w:val="003157AF"/>
    <w:rsid w:val="00320E40"/>
    <w:rsid w:val="00322BEE"/>
    <w:rsid w:val="0033391F"/>
    <w:rsid w:val="00337E38"/>
    <w:rsid w:val="003529BD"/>
    <w:rsid w:val="00355062"/>
    <w:rsid w:val="00355A6F"/>
    <w:rsid w:val="00365D99"/>
    <w:rsid w:val="003660F7"/>
    <w:rsid w:val="00367A82"/>
    <w:rsid w:val="00373C80"/>
    <w:rsid w:val="00380A02"/>
    <w:rsid w:val="00382ACC"/>
    <w:rsid w:val="00395F90"/>
    <w:rsid w:val="003A2654"/>
    <w:rsid w:val="003B15BD"/>
    <w:rsid w:val="003B466E"/>
    <w:rsid w:val="003B4AFC"/>
    <w:rsid w:val="003C0B58"/>
    <w:rsid w:val="003C4DE2"/>
    <w:rsid w:val="003C5D9F"/>
    <w:rsid w:val="003C7652"/>
    <w:rsid w:val="003D08F9"/>
    <w:rsid w:val="003D2420"/>
    <w:rsid w:val="003D361F"/>
    <w:rsid w:val="003D5AB2"/>
    <w:rsid w:val="003D6DF1"/>
    <w:rsid w:val="003F13BC"/>
    <w:rsid w:val="003F2858"/>
    <w:rsid w:val="003F4656"/>
    <w:rsid w:val="003F6D60"/>
    <w:rsid w:val="00402377"/>
    <w:rsid w:val="00403863"/>
    <w:rsid w:val="00403F5A"/>
    <w:rsid w:val="00404962"/>
    <w:rsid w:val="0040760D"/>
    <w:rsid w:val="00407E89"/>
    <w:rsid w:val="004262D8"/>
    <w:rsid w:val="00431D90"/>
    <w:rsid w:val="0043790A"/>
    <w:rsid w:val="00446F48"/>
    <w:rsid w:val="0045555D"/>
    <w:rsid w:val="00455A2F"/>
    <w:rsid w:val="0045784A"/>
    <w:rsid w:val="00463450"/>
    <w:rsid w:val="00463F02"/>
    <w:rsid w:val="00467196"/>
    <w:rsid w:val="00473B0E"/>
    <w:rsid w:val="00480D1B"/>
    <w:rsid w:val="0048289E"/>
    <w:rsid w:val="00484AF2"/>
    <w:rsid w:val="00491550"/>
    <w:rsid w:val="00496E30"/>
    <w:rsid w:val="004A0985"/>
    <w:rsid w:val="004A2BA5"/>
    <w:rsid w:val="004B0DDD"/>
    <w:rsid w:val="004B366C"/>
    <w:rsid w:val="004B3DAC"/>
    <w:rsid w:val="004B6343"/>
    <w:rsid w:val="004C2806"/>
    <w:rsid w:val="004C51E2"/>
    <w:rsid w:val="004C73C9"/>
    <w:rsid w:val="004C770A"/>
    <w:rsid w:val="004D6676"/>
    <w:rsid w:val="004E50A1"/>
    <w:rsid w:val="004E52F1"/>
    <w:rsid w:val="004E65E5"/>
    <w:rsid w:val="00501655"/>
    <w:rsid w:val="00501A46"/>
    <w:rsid w:val="005054B9"/>
    <w:rsid w:val="005129F7"/>
    <w:rsid w:val="00513D0E"/>
    <w:rsid w:val="00515940"/>
    <w:rsid w:val="00523900"/>
    <w:rsid w:val="00525F3E"/>
    <w:rsid w:val="0052614F"/>
    <w:rsid w:val="005267F0"/>
    <w:rsid w:val="00533D4E"/>
    <w:rsid w:val="00534CEC"/>
    <w:rsid w:val="00553D80"/>
    <w:rsid w:val="005637BB"/>
    <w:rsid w:val="005753CD"/>
    <w:rsid w:val="005805CC"/>
    <w:rsid w:val="005877A7"/>
    <w:rsid w:val="00594E0A"/>
    <w:rsid w:val="005962BF"/>
    <w:rsid w:val="00597302"/>
    <w:rsid w:val="005A0275"/>
    <w:rsid w:val="005A739A"/>
    <w:rsid w:val="005B00EA"/>
    <w:rsid w:val="005B140B"/>
    <w:rsid w:val="005C07D4"/>
    <w:rsid w:val="005C4E53"/>
    <w:rsid w:val="005C7F7B"/>
    <w:rsid w:val="005E14FE"/>
    <w:rsid w:val="005E2FC2"/>
    <w:rsid w:val="005F0189"/>
    <w:rsid w:val="005F123B"/>
    <w:rsid w:val="005F53A1"/>
    <w:rsid w:val="005F542D"/>
    <w:rsid w:val="006104A9"/>
    <w:rsid w:val="006176E0"/>
    <w:rsid w:val="00620617"/>
    <w:rsid w:val="00625BDD"/>
    <w:rsid w:val="00626AC3"/>
    <w:rsid w:val="0062789B"/>
    <w:rsid w:val="00636D5E"/>
    <w:rsid w:val="0064017A"/>
    <w:rsid w:val="00643349"/>
    <w:rsid w:val="006509EF"/>
    <w:rsid w:val="0065433D"/>
    <w:rsid w:val="00654E91"/>
    <w:rsid w:val="0065721C"/>
    <w:rsid w:val="00657E4B"/>
    <w:rsid w:val="00662445"/>
    <w:rsid w:val="006677E2"/>
    <w:rsid w:val="00672F97"/>
    <w:rsid w:val="00677355"/>
    <w:rsid w:val="00685830"/>
    <w:rsid w:val="0069294D"/>
    <w:rsid w:val="006A10F3"/>
    <w:rsid w:val="006A17B6"/>
    <w:rsid w:val="006A2773"/>
    <w:rsid w:val="006A38FB"/>
    <w:rsid w:val="006A5AAB"/>
    <w:rsid w:val="006B06CE"/>
    <w:rsid w:val="006C4C58"/>
    <w:rsid w:val="006D1896"/>
    <w:rsid w:val="006D4040"/>
    <w:rsid w:val="006E2542"/>
    <w:rsid w:val="006E4935"/>
    <w:rsid w:val="006E5C33"/>
    <w:rsid w:val="006E6267"/>
    <w:rsid w:val="006E745E"/>
    <w:rsid w:val="006F5F2E"/>
    <w:rsid w:val="00700794"/>
    <w:rsid w:val="007010D4"/>
    <w:rsid w:val="0070291A"/>
    <w:rsid w:val="00705F7D"/>
    <w:rsid w:val="007105CF"/>
    <w:rsid w:val="007117E2"/>
    <w:rsid w:val="0071186A"/>
    <w:rsid w:val="007149C6"/>
    <w:rsid w:val="00714D82"/>
    <w:rsid w:val="007152F5"/>
    <w:rsid w:val="00741394"/>
    <w:rsid w:val="00745736"/>
    <w:rsid w:val="00751201"/>
    <w:rsid w:val="00756E9C"/>
    <w:rsid w:val="00757B43"/>
    <w:rsid w:val="00757F6A"/>
    <w:rsid w:val="007628C8"/>
    <w:rsid w:val="0076685E"/>
    <w:rsid w:val="007728E7"/>
    <w:rsid w:val="0078070A"/>
    <w:rsid w:val="007821AB"/>
    <w:rsid w:val="007A02FC"/>
    <w:rsid w:val="007A6BCF"/>
    <w:rsid w:val="007A6E0B"/>
    <w:rsid w:val="007C31C0"/>
    <w:rsid w:val="007C4B2B"/>
    <w:rsid w:val="007D3115"/>
    <w:rsid w:val="007D77F0"/>
    <w:rsid w:val="007D7AA3"/>
    <w:rsid w:val="007E252B"/>
    <w:rsid w:val="007E3D7A"/>
    <w:rsid w:val="007E662C"/>
    <w:rsid w:val="007F122A"/>
    <w:rsid w:val="007F3B06"/>
    <w:rsid w:val="007F62DD"/>
    <w:rsid w:val="00802414"/>
    <w:rsid w:val="008075B0"/>
    <w:rsid w:val="008128F9"/>
    <w:rsid w:val="00817BC0"/>
    <w:rsid w:val="00821FC0"/>
    <w:rsid w:val="00830C89"/>
    <w:rsid w:val="00831491"/>
    <w:rsid w:val="00831FD6"/>
    <w:rsid w:val="00833572"/>
    <w:rsid w:val="00833C22"/>
    <w:rsid w:val="00842DA8"/>
    <w:rsid w:val="008468F4"/>
    <w:rsid w:val="00850895"/>
    <w:rsid w:val="008532E7"/>
    <w:rsid w:val="00860755"/>
    <w:rsid w:val="008640E8"/>
    <w:rsid w:val="0086643F"/>
    <w:rsid w:val="0087227C"/>
    <w:rsid w:val="00873E04"/>
    <w:rsid w:val="00876BD5"/>
    <w:rsid w:val="008818B2"/>
    <w:rsid w:val="008825D7"/>
    <w:rsid w:val="00885181"/>
    <w:rsid w:val="0089384F"/>
    <w:rsid w:val="00897048"/>
    <w:rsid w:val="008A313B"/>
    <w:rsid w:val="008A55FA"/>
    <w:rsid w:val="008B2ACE"/>
    <w:rsid w:val="008B6CC4"/>
    <w:rsid w:val="008C1EF3"/>
    <w:rsid w:val="008C74BF"/>
    <w:rsid w:val="008D2C49"/>
    <w:rsid w:val="008D501C"/>
    <w:rsid w:val="008D7651"/>
    <w:rsid w:val="008E13D2"/>
    <w:rsid w:val="008E2544"/>
    <w:rsid w:val="008E39D2"/>
    <w:rsid w:val="008E3C1F"/>
    <w:rsid w:val="008F372C"/>
    <w:rsid w:val="008F7F4F"/>
    <w:rsid w:val="00900FB3"/>
    <w:rsid w:val="00903297"/>
    <w:rsid w:val="009053DB"/>
    <w:rsid w:val="00907835"/>
    <w:rsid w:val="009167F0"/>
    <w:rsid w:val="00926A52"/>
    <w:rsid w:val="00933CFB"/>
    <w:rsid w:val="009375EB"/>
    <w:rsid w:val="009422D8"/>
    <w:rsid w:val="00944BB8"/>
    <w:rsid w:val="00944E58"/>
    <w:rsid w:val="00955D9C"/>
    <w:rsid w:val="00957B0F"/>
    <w:rsid w:val="00971DFF"/>
    <w:rsid w:val="00972D09"/>
    <w:rsid w:val="009769D0"/>
    <w:rsid w:val="00984967"/>
    <w:rsid w:val="00984CC8"/>
    <w:rsid w:val="009875AB"/>
    <w:rsid w:val="00992201"/>
    <w:rsid w:val="009A0B36"/>
    <w:rsid w:val="009B2155"/>
    <w:rsid w:val="009B25BB"/>
    <w:rsid w:val="009B3554"/>
    <w:rsid w:val="009B4430"/>
    <w:rsid w:val="009B48F9"/>
    <w:rsid w:val="009B5DC6"/>
    <w:rsid w:val="009B66F4"/>
    <w:rsid w:val="009C2778"/>
    <w:rsid w:val="009C3B25"/>
    <w:rsid w:val="009C6E5E"/>
    <w:rsid w:val="009D03FC"/>
    <w:rsid w:val="009D15F7"/>
    <w:rsid w:val="009E2011"/>
    <w:rsid w:val="009E5362"/>
    <w:rsid w:val="009E65D4"/>
    <w:rsid w:val="009E668F"/>
    <w:rsid w:val="009E7099"/>
    <w:rsid w:val="009E742A"/>
    <w:rsid w:val="009E78D2"/>
    <w:rsid w:val="009F42B9"/>
    <w:rsid w:val="009F6663"/>
    <w:rsid w:val="00A0300A"/>
    <w:rsid w:val="00A140C4"/>
    <w:rsid w:val="00A410C9"/>
    <w:rsid w:val="00A43222"/>
    <w:rsid w:val="00A50A6B"/>
    <w:rsid w:val="00A5275A"/>
    <w:rsid w:val="00A57179"/>
    <w:rsid w:val="00A57B57"/>
    <w:rsid w:val="00A57E0D"/>
    <w:rsid w:val="00A60000"/>
    <w:rsid w:val="00A64685"/>
    <w:rsid w:val="00A6616C"/>
    <w:rsid w:val="00A7271A"/>
    <w:rsid w:val="00A7274E"/>
    <w:rsid w:val="00A77A50"/>
    <w:rsid w:val="00A813C4"/>
    <w:rsid w:val="00A81579"/>
    <w:rsid w:val="00A822B8"/>
    <w:rsid w:val="00A847D1"/>
    <w:rsid w:val="00A906C7"/>
    <w:rsid w:val="00A916A0"/>
    <w:rsid w:val="00AA7BA9"/>
    <w:rsid w:val="00AA7E97"/>
    <w:rsid w:val="00AA7FFB"/>
    <w:rsid w:val="00AB135B"/>
    <w:rsid w:val="00AC303D"/>
    <w:rsid w:val="00AC4E99"/>
    <w:rsid w:val="00AD2651"/>
    <w:rsid w:val="00AE34B6"/>
    <w:rsid w:val="00AF443F"/>
    <w:rsid w:val="00AF49D8"/>
    <w:rsid w:val="00B11E84"/>
    <w:rsid w:val="00B31430"/>
    <w:rsid w:val="00B35E80"/>
    <w:rsid w:val="00B3736D"/>
    <w:rsid w:val="00B4410D"/>
    <w:rsid w:val="00B451C4"/>
    <w:rsid w:val="00B509D9"/>
    <w:rsid w:val="00B5786F"/>
    <w:rsid w:val="00B6457C"/>
    <w:rsid w:val="00B757DF"/>
    <w:rsid w:val="00B8033A"/>
    <w:rsid w:val="00B82EA3"/>
    <w:rsid w:val="00B8537A"/>
    <w:rsid w:val="00B962B3"/>
    <w:rsid w:val="00B97CF0"/>
    <w:rsid w:val="00BA3A93"/>
    <w:rsid w:val="00BA3B90"/>
    <w:rsid w:val="00BA582E"/>
    <w:rsid w:val="00BA5BB3"/>
    <w:rsid w:val="00BA5FB1"/>
    <w:rsid w:val="00BB5AF9"/>
    <w:rsid w:val="00BC2E4B"/>
    <w:rsid w:val="00BD126A"/>
    <w:rsid w:val="00BD1EC8"/>
    <w:rsid w:val="00BD3BB3"/>
    <w:rsid w:val="00BE1674"/>
    <w:rsid w:val="00BE26EE"/>
    <w:rsid w:val="00BE2AD3"/>
    <w:rsid w:val="00BF5A6D"/>
    <w:rsid w:val="00C029EC"/>
    <w:rsid w:val="00C10823"/>
    <w:rsid w:val="00C12293"/>
    <w:rsid w:val="00C162A9"/>
    <w:rsid w:val="00C2086A"/>
    <w:rsid w:val="00C33D9D"/>
    <w:rsid w:val="00C33F89"/>
    <w:rsid w:val="00C36AF2"/>
    <w:rsid w:val="00C44929"/>
    <w:rsid w:val="00C57ACA"/>
    <w:rsid w:val="00C6406F"/>
    <w:rsid w:val="00C65109"/>
    <w:rsid w:val="00C72A0B"/>
    <w:rsid w:val="00C81A41"/>
    <w:rsid w:val="00C82B98"/>
    <w:rsid w:val="00C9031D"/>
    <w:rsid w:val="00C904CA"/>
    <w:rsid w:val="00C97AF8"/>
    <w:rsid w:val="00CB0DC3"/>
    <w:rsid w:val="00CB2345"/>
    <w:rsid w:val="00CB7B24"/>
    <w:rsid w:val="00CC117B"/>
    <w:rsid w:val="00CE65B5"/>
    <w:rsid w:val="00CE7F08"/>
    <w:rsid w:val="00CF1C3B"/>
    <w:rsid w:val="00CF30AF"/>
    <w:rsid w:val="00CF7485"/>
    <w:rsid w:val="00D108D9"/>
    <w:rsid w:val="00D1420B"/>
    <w:rsid w:val="00D160FF"/>
    <w:rsid w:val="00D24E41"/>
    <w:rsid w:val="00D3095D"/>
    <w:rsid w:val="00D30AF9"/>
    <w:rsid w:val="00D316DC"/>
    <w:rsid w:val="00D33830"/>
    <w:rsid w:val="00D405D7"/>
    <w:rsid w:val="00D406A5"/>
    <w:rsid w:val="00D42D71"/>
    <w:rsid w:val="00D4799A"/>
    <w:rsid w:val="00D50408"/>
    <w:rsid w:val="00D52A87"/>
    <w:rsid w:val="00D573C7"/>
    <w:rsid w:val="00D6254E"/>
    <w:rsid w:val="00D727A8"/>
    <w:rsid w:val="00D74AFB"/>
    <w:rsid w:val="00D85671"/>
    <w:rsid w:val="00D86FAE"/>
    <w:rsid w:val="00D91D77"/>
    <w:rsid w:val="00D93E78"/>
    <w:rsid w:val="00DB21D5"/>
    <w:rsid w:val="00DB223D"/>
    <w:rsid w:val="00DC2012"/>
    <w:rsid w:val="00DC5297"/>
    <w:rsid w:val="00DD0D14"/>
    <w:rsid w:val="00DE0023"/>
    <w:rsid w:val="00DE6F5A"/>
    <w:rsid w:val="00DE7742"/>
    <w:rsid w:val="00DF480E"/>
    <w:rsid w:val="00E017DA"/>
    <w:rsid w:val="00E17BA2"/>
    <w:rsid w:val="00E21997"/>
    <w:rsid w:val="00E2569A"/>
    <w:rsid w:val="00E26CA5"/>
    <w:rsid w:val="00E30BDD"/>
    <w:rsid w:val="00E31A52"/>
    <w:rsid w:val="00E324FE"/>
    <w:rsid w:val="00E360E1"/>
    <w:rsid w:val="00E36E1B"/>
    <w:rsid w:val="00E412BA"/>
    <w:rsid w:val="00E44184"/>
    <w:rsid w:val="00E55546"/>
    <w:rsid w:val="00E57212"/>
    <w:rsid w:val="00E72F35"/>
    <w:rsid w:val="00E75882"/>
    <w:rsid w:val="00E91802"/>
    <w:rsid w:val="00E97AB6"/>
    <w:rsid w:val="00EA4312"/>
    <w:rsid w:val="00EA4CDB"/>
    <w:rsid w:val="00EA56AB"/>
    <w:rsid w:val="00EA6CBC"/>
    <w:rsid w:val="00EB0031"/>
    <w:rsid w:val="00EB0495"/>
    <w:rsid w:val="00EC13F9"/>
    <w:rsid w:val="00EC318A"/>
    <w:rsid w:val="00EC4CCE"/>
    <w:rsid w:val="00EC536F"/>
    <w:rsid w:val="00ED110C"/>
    <w:rsid w:val="00ED728B"/>
    <w:rsid w:val="00EE10E5"/>
    <w:rsid w:val="00EE301D"/>
    <w:rsid w:val="00EE6A90"/>
    <w:rsid w:val="00EE7489"/>
    <w:rsid w:val="00EF3394"/>
    <w:rsid w:val="00EF37B6"/>
    <w:rsid w:val="00F009AE"/>
    <w:rsid w:val="00F0339F"/>
    <w:rsid w:val="00F13D4E"/>
    <w:rsid w:val="00F147B0"/>
    <w:rsid w:val="00F22D8D"/>
    <w:rsid w:val="00F25DC4"/>
    <w:rsid w:val="00F33A34"/>
    <w:rsid w:val="00F35455"/>
    <w:rsid w:val="00F355DD"/>
    <w:rsid w:val="00F37BFD"/>
    <w:rsid w:val="00F43134"/>
    <w:rsid w:val="00F4334D"/>
    <w:rsid w:val="00F50632"/>
    <w:rsid w:val="00F51A0B"/>
    <w:rsid w:val="00F545CF"/>
    <w:rsid w:val="00F56CB4"/>
    <w:rsid w:val="00F57165"/>
    <w:rsid w:val="00F61C76"/>
    <w:rsid w:val="00F63295"/>
    <w:rsid w:val="00F63916"/>
    <w:rsid w:val="00F646F2"/>
    <w:rsid w:val="00F70A40"/>
    <w:rsid w:val="00F74724"/>
    <w:rsid w:val="00F852E0"/>
    <w:rsid w:val="00F9415C"/>
    <w:rsid w:val="00FA2149"/>
    <w:rsid w:val="00FA7C33"/>
    <w:rsid w:val="00FB1C21"/>
    <w:rsid w:val="00FB5280"/>
    <w:rsid w:val="00FB533C"/>
    <w:rsid w:val="00FC137D"/>
    <w:rsid w:val="00FC3A3E"/>
    <w:rsid w:val="00FC538E"/>
    <w:rsid w:val="00FD14C7"/>
    <w:rsid w:val="00FF3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FA957CA"/>
  <w15:docId w15:val="{C7BE8A55-03A9-4B0A-8D60-7B46E8DD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0BA8"/>
    <w:pPr>
      <w:spacing w:after="200" w:line="276" w:lineRule="auto"/>
    </w:pPr>
    <w:rPr>
      <w:rFonts w:asciiTheme="minorHAnsi" w:eastAsiaTheme="minorEastAsia" w:hAnsiTheme="minorHAnsi" w:cstheme="minorBidi"/>
      <w:sz w:val="22"/>
      <w:szCs w:val="22"/>
    </w:rPr>
  </w:style>
  <w:style w:type="paragraph" w:styleId="berschrift2">
    <w:name w:val="heading 2"/>
    <w:aliases w:val="Verdana-Überschrift 2"/>
    <w:basedOn w:val="Standard"/>
    <w:next w:val="Standard"/>
    <w:link w:val="berschrift2Zchn"/>
    <w:uiPriority w:val="9"/>
    <w:unhideWhenUsed/>
    <w:qFormat/>
    <w:rsid w:val="00110BA8"/>
    <w:pPr>
      <w:keepNext/>
      <w:keepLines/>
      <w:spacing w:before="320" w:after="120"/>
      <w:outlineLvl w:val="1"/>
    </w:pPr>
    <w:rPr>
      <w:rFonts w:ascii="Verdana" w:eastAsiaTheme="majorEastAsia" w:hAnsi="Verdana" w:cstheme="majorBidi"/>
      <w:b/>
      <w:bCs/>
      <w:color w:val="003D7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8E2544"/>
    <w:pPr>
      <w:spacing w:after="0" w:line="240" w:lineRule="auto"/>
    </w:pPr>
    <w:rPr>
      <w:rFonts w:ascii="Tahoma" w:eastAsia="Times New Roman" w:hAnsi="Tahoma" w:cs="Tahoma"/>
      <w:sz w:val="16"/>
      <w:szCs w:val="16"/>
    </w:rPr>
  </w:style>
  <w:style w:type="paragraph" w:styleId="Kopfzeile">
    <w:name w:val="header"/>
    <w:basedOn w:val="Standard"/>
    <w:rsid w:val="00B757DF"/>
    <w:pPr>
      <w:tabs>
        <w:tab w:val="center" w:pos="4536"/>
        <w:tab w:val="right" w:pos="9072"/>
      </w:tabs>
      <w:spacing w:after="0" w:line="240" w:lineRule="auto"/>
    </w:pPr>
    <w:rPr>
      <w:rFonts w:ascii="Times New Roman" w:eastAsia="Times New Roman" w:hAnsi="Times New Roman" w:cs="Times New Roman"/>
      <w:sz w:val="24"/>
      <w:szCs w:val="20"/>
    </w:rPr>
  </w:style>
  <w:style w:type="paragraph" w:styleId="Fuzeile">
    <w:name w:val="footer"/>
    <w:basedOn w:val="Standard"/>
    <w:rsid w:val="00B757DF"/>
    <w:pPr>
      <w:tabs>
        <w:tab w:val="center" w:pos="4536"/>
        <w:tab w:val="right" w:pos="9072"/>
      </w:tabs>
      <w:spacing w:after="0" w:line="240" w:lineRule="auto"/>
    </w:pPr>
    <w:rPr>
      <w:rFonts w:ascii="Times New Roman" w:eastAsia="Times New Roman" w:hAnsi="Times New Roman" w:cs="Times New Roman"/>
      <w:sz w:val="24"/>
      <w:szCs w:val="20"/>
    </w:rPr>
  </w:style>
  <w:style w:type="character" w:styleId="Seitenzahl">
    <w:name w:val="page number"/>
    <w:basedOn w:val="Absatz-Standardschriftart"/>
    <w:rsid w:val="005637BB"/>
  </w:style>
  <w:style w:type="character" w:customStyle="1" w:styleId="berschrift2Zchn">
    <w:name w:val="Überschrift 2 Zchn"/>
    <w:aliases w:val="Verdana-Überschrift 2 Zchn"/>
    <w:basedOn w:val="Absatz-Standardschriftart"/>
    <w:link w:val="berschrift2"/>
    <w:uiPriority w:val="9"/>
    <w:rsid w:val="00110BA8"/>
    <w:rPr>
      <w:rFonts w:ascii="Verdana" w:eastAsiaTheme="majorEastAsia" w:hAnsi="Verdana" w:cstheme="majorBidi"/>
      <w:b/>
      <w:bCs/>
      <w:color w:val="003D7F"/>
      <w:sz w:val="22"/>
      <w:szCs w:val="26"/>
    </w:rPr>
  </w:style>
  <w:style w:type="character" w:styleId="Hyperlink">
    <w:name w:val="Hyperlink"/>
    <w:basedOn w:val="Absatz-Standardschriftart"/>
    <w:uiPriority w:val="99"/>
    <w:unhideWhenUsed/>
    <w:rsid w:val="00110BA8"/>
    <w:rPr>
      <w:color w:val="0000FF" w:themeColor="hyperlink"/>
      <w:u w:val="single"/>
    </w:rPr>
  </w:style>
  <w:style w:type="table" w:styleId="Tabellenraster">
    <w:name w:val="Table Grid"/>
    <w:basedOn w:val="NormaleTabelle"/>
    <w:uiPriority w:val="59"/>
    <w:rsid w:val="00110BA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81A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81A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B7B24"/>
    <w:rPr>
      <w:color w:val="800080" w:themeColor="followedHyperlink"/>
      <w:u w:val="single"/>
    </w:rPr>
  </w:style>
  <w:style w:type="paragraph" w:styleId="Listenabsatz">
    <w:name w:val="List Paragraph"/>
    <w:basedOn w:val="Standard"/>
    <w:uiPriority w:val="34"/>
    <w:qFormat/>
    <w:rsid w:val="008F7F4F"/>
    <w:pPr>
      <w:ind w:left="720"/>
      <w:contextualSpacing/>
    </w:pPr>
  </w:style>
  <w:style w:type="paragraph" w:customStyle="1" w:styleId="bodytext">
    <w:name w:val="bodytext"/>
    <w:basedOn w:val="Standard"/>
    <w:rsid w:val="002F69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35263">
      <w:bodyDiv w:val="1"/>
      <w:marLeft w:val="0"/>
      <w:marRight w:val="0"/>
      <w:marTop w:val="0"/>
      <w:marBottom w:val="0"/>
      <w:divBdr>
        <w:top w:val="none" w:sz="0" w:space="0" w:color="auto"/>
        <w:left w:val="none" w:sz="0" w:space="0" w:color="auto"/>
        <w:bottom w:val="none" w:sz="0" w:space="0" w:color="auto"/>
        <w:right w:val="none" w:sz="0" w:space="0" w:color="auto"/>
      </w:divBdr>
      <w:divsChild>
        <w:div w:id="2114981454">
          <w:marLeft w:val="0"/>
          <w:marRight w:val="0"/>
          <w:marTop w:val="0"/>
          <w:marBottom w:val="0"/>
          <w:divBdr>
            <w:top w:val="none" w:sz="0" w:space="0" w:color="auto"/>
            <w:left w:val="none" w:sz="0" w:space="0" w:color="auto"/>
            <w:bottom w:val="none" w:sz="0" w:space="0" w:color="auto"/>
            <w:right w:val="none" w:sz="0" w:space="0" w:color="auto"/>
          </w:divBdr>
          <w:divsChild>
            <w:div w:id="10290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hlhas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hlhas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Z-Vorlagen%20Word\DKO-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FAECC-DEF0-4281-B681-41473491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DKO-Brief.dotx</Template>
  <TotalTime>0</TotalTime>
  <Pages>2</Pages>
  <Words>483</Words>
  <Characters>3048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DKO-Brief</vt:lpstr>
    </vt:vector>
  </TitlesOfParts>
  <Company>Dr. Kohlhase GmbH</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Kohlhase GmbH</dc:title>
  <dc:subject>Firmenprofil</dc:subject>
  <dc:creator>Michael Kohlhase</dc:creator>
  <cp:lastModifiedBy>Michael Kohlhase</cp:lastModifiedBy>
  <cp:revision>2</cp:revision>
  <cp:lastPrinted>2019-02-06T14:56:00Z</cp:lastPrinted>
  <dcterms:created xsi:type="dcterms:W3CDTF">2021-01-19T11:24:00Z</dcterms:created>
  <dcterms:modified xsi:type="dcterms:W3CDTF">2021-01-19T11:24:00Z</dcterms:modified>
</cp:coreProperties>
</file>